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13" w:rsidRDefault="002B1692">
      <w:pPr>
        <w:pStyle w:val="BodyText"/>
        <w:spacing w:before="69"/>
        <w:ind w:left="2647" w:right="2628" w:firstLine="3"/>
        <w:jc w:val="center"/>
      </w:pPr>
      <w:bookmarkStart w:id="0" w:name="_GoBack"/>
      <w:bookmarkEnd w:id="0"/>
      <w:r>
        <w:t>Office of Continuing Medical Education School of Medicine/Health Sciences Center State University of New York at Stony</w:t>
      </w:r>
      <w:r>
        <w:rPr>
          <w:spacing w:val="-4"/>
        </w:rPr>
        <w:t xml:space="preserve"> </w:t>
      </w:r>
      <w:r>
        <w:rPr>
          <w:spacing w:val="-3"/>
        </w:rPr>
        <w:t>Brook</w:t>
      </w:r>
    </w:p>
    <w:p w:rsidR="00BB5B13" w:rsidRDefault="00BB5B13">
      <w:pPr>
        <w:pStyle w:val="BodyText"/>
        <w:spacing w:before="11"/>
        <w:rPr>
          <w:sz w:val="20"/>
        </w:rPr>
      </w:pPr>
    </w:p>
    <w:p w:rsidR="00BB5B13" w:rsidRDefault="002B1692">
      <w:pPr>
        <w:ind w:left="2428" w:right="1853" w:hanging="135"/>
        <w:rPr>
          <w:b/>
        </w:rPr>
      </w:pPr>
      <w:r>
        <w:rPr>
          <w:b/>
        </w:rPr>
        <w:t>POLICY ON HONORARIA AND</w:t>
      </w:r>
      <w:r>
        <w:rPr>
          <w:b/>
          <w:spacing w:val="-22"/>
        </w:rPr>
        <w:t xml:space="preserve"> </w:t>
      </w:r>
      <w:r>
        <w:rPr>
          <w:b/>
        </w:rPr>
        <w:t>REIMURSEMENT FOR JOINTLY PROVIDED CME</w:t>
      </w:r>
      <w:r>
        <w:rPr>
          <w:b/>
          <w:spacing w:val="-6"/>
        </w:rPr>
        <w:t xml:space="preserve"> </w:t>
      </w:r>
      <w:r>
        <w:rPr>
          <w:b/>
        </w:rPr>
        <w:t>ACTIVITIES</w:t>
      </w:r>
    </w:p>
    <w:p w:rsidR="00BB5B13" w:rsidRDefault="00BB5B13">
      <w:pPr>
        <w:pStyle w:val="BodyText"/>
        <w:rPr>
          <w:b/>
          <w:sz w:val="24"/>
        </w:rPr>
      </w:pPr>
    </w:p>
    <w:p w:rsidR="00BB5B13" w:rsidRDefault="00BB5B13">
      <w:pPr>
        <w:pStyle w:val="BodyText"/>
        <w:spacing w:before="11"/>
        <w:rPr>
          <w:b/>
          <w:sz w:val="19"/>
        </w:rPr>
      </w:pPr>
    </w:p>
    <w:p w:rsidR="00BB5B13" w:rsidRDefault="002B169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75"/>
      </w:pPr>
      <w:r>
        <w:t>Invited presenters or authors of OCME certified CME activities may be paid honoraria after completion of the CME activity, by the OCME or its designate, e.g. medical school department.</w:t>
      </w:r>
    </w:p>
    <w:p w:rsidR="00BB5B13" w:rsidRDefault="00BB5B13">
      <w:pPr>
        <w:pStyle w:val="BodyText"/>
        <w:spacing w:before="11"/>
        <w:rPr>
          <w:sz w:val="21"/>
        </w:rPr>
      </w:pPr>
    </w:p>
    <w:p w:rsidR="00BB5B13" w:rsidRDefault="002B169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69"/>
      </w:pPr>
      <w:r>
        <w:t>The OCME certified CME activities for which honoraria are paid must be</w:t>
      </w:r>
      <w:r>
        <w:t xml:space="preserve"> compliant</w:t>
      </w:r>
      <w:r>
        <w:rPr>
          <w:spacing w:val="-19"/>
        </w:rPr>
        <w:t xml:space="preserve"> </w:t>
      </w:r>
      <w:r>
        <w:t>with all ACCME policies for accreditation, including the ACCME Standards for Commercial Support.</w:t>
      </w:r>
    </w:p>
    <w:p w:rsidR="00BB5B13" w:rsidRDefault="00BB5B13">
      <w:pPr>
        <w:pStyle w:val="BodyText"/>
      </w:pPr>
    </w:p>
    <w:p w:rsidR="00BB5B13" w:rsidRDefault="002B169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06"/>
      </w:pPr>
      <w:r>
        <w:t xml:space="preserve">The </w:t>
      </w:r>
      <w:proofErr w:type="gramStart"/>
      <w:r>
        <w:t>amount</w:t>
      </w:r>
      <w:proofErr w:type="gramEnd"/>
      <w:r>
        <w:t xml:space="preserve"> of honoraria should be reasonable, as determined by the medical school’s CME Advisory Committee* and consistent with relevant institutio</w:t>
      </w:r>
      <w:r>
        <w:t>nal policy. Honoraria</w:t>
      </w:r>
      <w:r>
        <w:rPr>
          <w:spacing w:val="-13"/>
        </w:rPr>
        <w:t xml:space="preserve"> </w:t>
      </w:r>
      <w:r>
        <w:t>for invited faculty should be based</w:t>
      </w:r>
      <w:r>
        <w:rPr>
          <w:spacing w:val="-1"/>
        </w:rPr>
        <w:t xml:space="preserve"> </w:t>
      </w:r>
      <w:r>
        <w:t>on:</w:t>
      </w:r>
    </w:p>
    <w:p w:rsidR="00BB5B13" w:rsidRDefault="00BB5B13">
      <w:pPr>
        <w:pStyle w:val="BodyText"/>
        <w:spacing w:before="11"/>
        <w:rPr>
          <w:sz w:val="21"/>
        </w:rPr>
      </w:pPr>
    </w:p>
    <w:p w:rsidR="00BB5B13" w:rsidRDefault="002B169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721"/>
      </w:pPr>
      <w:r>
        <w:t>Importance of presenter to the educational goals and objectives of the</w:t>
      </w:r>
      <w:r>
        <w:rPr>
          <w:spacing w:val="-12"/>
        </w:rPr>
        <w:t xml:space="preserve"> </w:t>
      </w:r>
      <w:r>
        <w:t>program.</w:t>
      </w:r>
    </w:p>
    <w:p w:rsidR="00BB5B13" w:rsidRDefault="002B1692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59"/>
      </w:pPr>
      <w:r>
        <w:t>Reputation and CV of proposed faculty</w:t>
      </w:r>
      <w:r>
        <w:rPr>
          <w:spacing w:val="-1"/>
        </w:rPr>
        <w:t xml:space="preserve"> </w:t>
      </w:r>
      <w:r>
        <w:t>member(s).</w:t>
      </w:r>
    </w:p>
    <w:p w:rsidR="00BB5B13" w:rsidRDefault="002B1692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59"/>
      </w:pPr>
      <w:r>
        <w:t>Time away required from home institution to join faculty of</w:t>
      </w:r>
      <w:r>
        <w:rPr>
          <w:spacing w:val="-7"/>
        </w:rPr>
        <w:t xml:space="preserve"> </w:t>
      </w:r>
      <w:r>
        <w:t>prog</w:t>
      </w:r>
      <w:r>
        <w:t>ram.</w:t>
      </w:r>
    </w:p>
    <w:p w:rsidR="00BB5B13" w:rsidRDefault="002B1692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right="121" w:hanging="721"/>
      </w:pPr>
      <w:r>
        <w:t xml:space="preserve">Funds available from grants and/or institution. However, the </w:t>
      </w:r>
      <w:proofErr w:type="gramStart"/>
      <w:r>
        <w:t>amount</w:t>
      </w:r>
      <w:proofErr w:type="gramEnd"/>
      <w:r>
        <w:t xml:space="preserve"> of</w:t>
      </w:r>
      <w:r>
        <w:rPr>
          <w:spacing w:val="-14"/>
        </w:rPr>
        <w:t xml:space="preserve"> </w:t>
      </w:r>
      <w:r>
        <w:t>honoraria should not be influenced by representatives of industry or other financial contributors to</w:t>
      </w:r>
      <w:r>
        <w:rPr>
          <w:spacing w:val="-2"/>
        </w:rPr>
        <w:t xml:space="preserve"> </w:t>
      </w:r>
      <w:r>
        <w:t>activities.</w:t>
      </w:r>
    </w:p>
    <w:p w:rsidR="00BB5B13" w:rsidRDefault="002B169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52" w:lineRule="exact"/>
        <w:ind w:hanging="721"/>
      </w:pPr>
      <w:r>
        <w:t xml:space="preserve">Possible effect on honoraria for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faculty.</w:t>
      </w:r>
    </w:p>
    <w:p w:rsidR="00BB5B13" w:rsidRDefault="002B169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/>
        <w:ind w:right="341" w:hanging="721"/>
      </w:pPr>
      <w:r>
        <w:t>Reimbursement to faculty may be made for reasonable out of pocket</w:t>
      </w:r>
      <w:r>
        <w:rPr>
          <w:spacing w:val="-15"/>
        </w:rPr>
        <w:t xml:space="preserve"> </w:t>
      </w:r>
      <w:r>
        <w:t>expenses for travel, lodging and meals on receipt of itemized receipts, consistent with institutional policy, e.g. coach air</w:t>
      </w:r>
      <w:r>
        <w:rPr>
          <w:spacing w:val="-2"/>
        </w:rPr>
        <w:t xml:space="preserve"> </w:t>
      </w:r>
      <w:r>
        <w:t>travel.</w:t>
      </w:r>
    </w:p>
    <w:p w:rsidR="00BB5B13" w:rsidRDefault="00BB5B13">
      <w:pPr>
        <w:pStyle w:val="BodyText"/>
        <w:spacing w:before="11"/>
        <w:rPr>
          <w:sz w:val="21"/>
        </w:rPr>
      </w:pPr>
    </w:p>
    <w:p w:rsidR="00BB5B13" w:rsidRDefault="002B169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06"/>
      </w:pPr>
      <w:r>
        <w:t>Justification for Honoraria above the upper amount ident</w:t>
      </w:r>
      <w:r>
        <w:t>ified as reasonable by the</w:t>
      </w:r>
      <w:r>
        <w:rPr>
          <w:spacing w:val="-18"/>
        </w:rPr>
        <w:t xml:space="preserve"> </w:t>
      </w:r>
      <w:r>
        <w:t>CME Advisory Committee* should be submitted to the OCME for</w:t>
      </w:r>
      <w:r>
        <w:rPr>
          <w:spacing w:val="-3"/>
        </w:rPr>
        <w:t xml:space="preserve"> </w:t>
      </w:r>
      <w:r>
        <w:t>approval.</w:t>
      </w:r>
    </w:p>
    <w:p w:rsidR="00BB5B13" w:rsidRDefault="00BB5B13">
      <w:pPr>
        <w:pStyle w:val="BodyText"/>
      </w:pPr>
    </w:p>
    <w:p w:rsidR="00BB5B13" w:rsidRDefault="002B1692">
      <w:pPr>
        <w:pStyle w:val="ListParagraph"/>
        <w:numPr>
          <w:ilvl w:val="0"/>
          <w:numId w:val="1"/>
        </w:numPr>
        <w:tabs>
          <w:tab w:val="left" w:pos="841"/>
        </w:tabs>
        <w:ind w:right="313"/>
        <w:jc w:val="both"/>
      </w:pPr>
      <w:r>
        <w:t>Speaker’s travel accommodations must be reimbursed according to Stony Brook travel guidelines (e.g. coach fare rate for air travel, current automobile mileage rates, lodging dates corresponding to conference</w:t>
      </w:r>
      <w:r>
        <w:rPr>
          <w:spacing w:val="-1"/>
        </w:rPr>
        <w:t xml:space="preserve"> </w:t>
      </w:r>
      <w:r>
        <w:t>duration).</w:t>
      </w:r>
    </w:p>
    <w:p w:rsidR="00BB5B13" w:rsidRDefault="00BB5B13">
      <w:pPr>
        <w:pStyle w:val="BodyText"/>
      </w:pPr>
    </w:p>
    <w:p w:rsidR="00BB5B13" w:rsidRDefault="002B1692">
      <w:pPr>
        <w:pStyle w:val="BodyText"/>
        <w:ind w:left="120"/>
      </w:pPr>
      <w:r>
        <w:t>*As a guideline for determining reas</w:t>
      </w:r>
      <w:r>
        <w:t>onable honoraria, the CME Advisory Committee approved</w:t>
      </w:r>
    </w:p>
    <w:p w:rsidR="00BB5B13" w:rsidRDefault="002B1692">
      <w:pPr>
        <w:pStyle w:val="BodyText"/>
        <w:ind w:left="264"/>
      </w:pPr>
      <w:r>
        <w:t>$2,000.00 as the upper limit for presentations of approximately 1.5 hours or less.</w:t>
      </w: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rPr>
          <w:sz w:val="20"/>
        </w:rPr>
      </w:pPr>
    </w:p>
    <w:p w:rsidR="00BB5B13" w:rsidRDefault="00BB5B13">
      <w:pPr>
        <w:pStyle w:val="BodyText"/>
        <w:spacing w:before="9"/>
        <w:rPr>
          <w:sz w:val="29"/>
        </w:rPr>
      </w:pPr>
    </w:p>
    <w:p w:rsidR="00BB5B13" w:rsidRDefault="002B1692">
      <w:pPr>
        <w:spacing w:before="95"/>
        <w:ind w:right="100"/>
        <w:jc w:val="right"/>
        <w:rPr>
          <w:sz w:val="18"/>
        </w:rPr>
      </w:pPr>
      <w:r>
        <w:rPr>
          <w:sz w:val="18"/>
        </w:rPr>
        <w:t>2/2015</w:t>
      </w:r>
    </w:p>
    <w:sectPr w:rsidR="00BB5B13">
      <w:type w:val="continuous"/>
      <w:pgSz w:w="12240" w:h="15840"/>
      <w:pgMar w:top="10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19D"/>
    <w:multiLevelType w:val="hybridMultilevel"/>
    <w:tmpl w:val="FDBA4C6E"/>
    <w:lvl w:ilvl="0" w:tplc="9672FBA4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50068F02">
      <w:start w:val="1"/>
      <w:numFmt w:val="lowerLetter"/>
      <w:lvlText w:val="%2)"/>
      <w:lvlJc w:val="left"/>
      <w:pPr>
        <w:ind w:left="1560" w:hanging="72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EA02127A">
      <w:numFmt w:val="bullet"/>
      <w:lvlText w:val="•"/>
      <w:lvlJc w:val="left"/>
      <w:pPr>
        <w:ind w:left="2451" w:hanging="720"/>
      </w:pPr>
      <w:rPr>
        <w:rFonts w:hint="default"/>
      </w:rPr>
    </w:lvl>
    <w:lvl w:ilvl="3" w:tplc="570E2956">
      <w:numFmt w:val="bullet"/>
      <w:lvlText w:val="•"/>
      <w:lvlJc w:val="left"/>
      <w:pPr>
        <w:ind w:left="3342" w:hanging="720"/>
      </w:pPr>
      <w:rPr>
        <w:rFonts w:hint="default"/>
      </w:rPr>
    </w:lvl>
    <w:lvl w:ilvl="4" w:tplc="287ECB90">
      <w:numFmt w:val="bullet"/>
      <w:lvlText w:val="•"/>
      <w:lvlJc w:val="left"/>
      <w:pPr>
        <w:ind w:left="4233" w:hanging="720"/>
      </w:pPr>
      <w:rPr>
        <w:rFonts w:hint="default"/>
      </w:rPr>
    </w:lvl>
    <w:lvl w:ilvl="5" w:tplc="E0804BD8">
      <w:numFmt w:val="bullet"/>
      <w:lvlText w:val="•"/>
      <w:lvlJc w:val="left"/>
      <w:pPr>
        <w:ind w:left="5124" w:hanging="720"/>
      </w:pPr>
      <w:rPr>
        <w:rFonts w:hint="default"/>
      </w:rPr>
    </w:lvl>
    <w:lvl w:ilvl="6" w:tplc="18AAB2FA">
      <w:numFmt w:val="bullet"/>
      <w:lvlText w:val="•"/>
      <w:lvlJc w:val="left"/>
      <w:pPr>
        <w:ind w:left="6015" w:hanging="720"/>
      </w:pPr>
      <w:rPr>
        <w:rFonts w:hint="default"/>
      </w:rPr>
    </w:lvl>
    <w:lvl w:ilvl="7" w:tplc="8E304E10">
      <w:numFmt w:val="bullet"/>
      <w:lvlText w:val="•"/>
      <w:lvlJc w:val="left"/>
      <w:pPr>
        <w:ind w:left="6906" w:hanging="720"/>
      </w:pPr>
      <w:rPr>
        <w:rFonts w:hint="default"/>
      </w:rPr>
    </w:lvl>
    <w:lvl w:ilvl="8" w:tplc="0D921F4E">
      <w:numFmt w:val="bullet"/>
      <w:lvlText w:val="•"/>
      <w:lvlJc w:val="left"/>
      <w:pPr>
        <w:ind w:left="779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13"/>
    <w:rsid w:val="002B1692"/>
    <w:rsid w:val="00B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75321-73B2-4D05-906E-15B61DA8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 on Honoraria &amp; Reimbursement-JOINT 2013.doc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on Honoraria &amp; Reimbursement-JOINT 2013.doc</dc:title>
  <dc:creator>sranford</dc:creator>
  <cp:lastModifiedBy>Lovaglio, Donna M.</cp:lastModifiedBy>
  <cp:revision>2</cp:revision>
  <cp:lastPrinted>2024-05-30T19:31:00Z</cp:lastPrinted>
  <dcterms:created xsi:type="dcterms:W3CDTF">2024-05-30T19:32:00Z</dcterms:created>
  <dcterms:modified xsi:type="dcterms:W3CDTF">2024-05-30T19:32:00Z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2024-04-09T00:00:00Z</vt:filetime>
  </property>
</Properties>
</file>